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480" w:after="0"/>
        <w:jc w:val="center"/>
      </w:pPr>
      <w:r>
        <w:rPr/>
        <w:drawing>
          <wp:inline distT="0" distB="0" distL="0" distR="0">
            <wp:extent cx="2400935" cy="195453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400935" cy="1954530"/>
                    </a:xfrm>
                    <a:prstGeom prst="rect">
                      <a:avLst/>
                    </a:prstGeom>
                    <a:noFill/>
                    <a:ln w="9525">
                      <a:noFill/>
                      <a:miter lim="800000"/>
                      <a:headEnd/>
                      <a:tailEnd/>
                    </a:ln>
                  </pic:spPr>
                </pic:pic>
              </a:graphicData>
            </a:graphic>
          </wp:inline>
        </w:drawing>
      </w:r>
      <w:r/>
    </w:p>
    <w:p>
      <w:pPr>
        <w:pStyle w:val="Normal"/>
      </w:pPr>
      <w:r>
        <w:rPr/>
      </w:r>
      <w:r/>
    </w:p>
    <w:p>
      <w:pPr>
        <w:pStyle w:val="Titre1"/>
        <w:spacing w:before="0" w:after="120"/>
        <w:jc w:val="center"/>
        <w:rPr>
          <w:sz w:val="36"/>
          <w:sz w:val="36"/>
          <w:szCs w:val="36"/>
          <w:rFonts w:ascii="Cambria" w:hAnsi="Cambria" w:cs="Aharoni"/>
          <w:color w:val="1F497D" w:themeColor="text2"/>
        </w:rPr>
      </w:pPr>
      <w:r>
        <w:rPr>
          <w:rFonts w:cs="Aharoni"/>
          <w:color w:val="1F497D" w:themeColor="text2"/>
          <w:sz w:val="36"/>
          <w:szCs w:val="36"/>
        </w:rPr>
        <w:t>APPEL A PROJETS LOCAUX</w:t>
      </w:r>
      <w:r/>
    </w:p>
    <w:p>
      <w:pPr>
        <w:pStyle w:val="Normal"/>
        <w:jc w:val="center"/>
        <w:rPr>
          <w:sz w:val="40"/>
          <w:sz w:val="40"/>
          <w:szCs w:val="36"/>
          <w:rFonts w:ascii="Cambria" w:hAnsi="Cambria" w:cs="Calibri" w:asciiTheme="majorHAnsi" w:cstheme="minorHAnsi" w:hAnsiTheme="majorHAnsi"/>
          <w:color w:val="1F497D" w:themeColor="text2"/>
        </w:rPr>
      </w:pPr>
      <w:r>
        <w:rPr>
          <w:rFonts w:cs="Calibri" w:ascii="Cambria" w:hAnsi="Cambria" w:asciiTheme="majorHAnsi" w:cstheme="minorHAnsi" w:hAnsiTheme="majorHAnsi"/>
          <w:color w:val="1F497D" w:themeColor="text2"/>
          <w:sz w:val="40"/>
          <w:szCs w:val="36"/>
        </w:rPr>
        <w:t xml:space="preserve">« Mobilisés contre le racisme, l’antisémitisme, </w:t>
      </w:r>
      <w:r/>
    </w:p>
    <w:p>
      <w:pPr>
        <w:pStyle w:val="Normal"/>
        <w:jc w:val="center"/>
        <w:rPr>
          <w:sz w:val="36"/>
          <w:sz w:val="36"/>
          <w:szCs w:val="36"/>
          <w:rFonts w:ascii="Cambria" w:hAnsi="Cambria" w:cs="Calibri" w:asciiTheme="majorHAnsi" w:cstheme="minorHAnsi" w:hAnsiTheme="majorHAnsi"/>
          <w:color w:val="1F497D" w:themeColor="text2"/>
        </w:rPr>
      </w:pPr>
      <w:r>
        <w:rPr>
          <w:rFonts w:cs="Calibri" w:ascii="Cambria" w:hAnsi="Cambria" w:asciiTheme="majorHAnsi" w:cstheme="minorHAnsi" w:hAnsiTheme="majorHAnsi"/>
          <w:color w:val="1F497D" w:themeColor="text2"/>
          <w:sz w:val="40"/>
          <w:szCs w:val="36"/>
        </w:rPr>
        <w:t>la haine et les discriminations anti-LGBT»</w:t>
      </w:r>
      <w:r/>
    </w:p>
    <w:p>
      <w:pPr>
        <w:pStyle w:val="Titre1"/>
        <w:spacing w:before="0" w:after="120"/>
        <w:jc w:val="center"/>
        <w:rPr>
          <w:sz w:val="36"/>
          <w:b w:val="false"/>
          <w:sz w:val="36"/>
          <w:b w:val="false"/>
          <w:szCs w:val="36"/>
          <w:rFonts w:ascii="Cambria" w:hAnsi="Cambria" w:cs="Aharoni"/>
          <w:color w:val="00000A"/>
        </w:rPr>
      </w:pPr>
      <w:r>
        <w:rPr>
          <w:rFonts w:cs="Aharoni"/>
          <w:b w:val="false"/>
          <w:color w:val="1F497D" w:themeColor="text2"/>
          <w:sz w:val="36"/>
          <w:szCs w:val="36"/>
        </w:rPr>
        <w:t>2018-2019</w:t>
      </w:r>
      <w:r/>
    </w:p>
    <w:p>
      <w:pPr>
        <w:pStyle w:val="Normal"/>
        <w:rPr>
          <w:sz w:val="28"/>
          <w:sz w:val="28"/>
        </w:rPr>
      </w:pPr>
      <w:r>
        <w:rPr>
          <w:sz w:val="28"/>
        </w:rPr>
      </w:r>
      <w:r/>
    </w:p>
    <w:p>
      <w:pPr>
        <w:pStyle w:val="Normal"/>
        <w:spacing w:before="0" w:after="120"/>
        <w:jc w:val="both"/>
        <w:rPr>
          <w:sz w:val="24"/>
          <w:sz w:val="24"/>
          <w:szCs w:val="24"/>
          <w:rFonts w:cs="Calibri" w:cstheme="minorHAnsi"/>
          <w:color w:val="1F497D" w:themeColor="text2"/>
        </w:rPr>
      </w:pPr>
      <w:r>
        <w:rPr>
          <w:rFonts w:cs="Calibri" w:cstheme="minorHAnsi"/>
          <w:color w:val="1F497D" w:themeColor="text2"/>
          <w:sz w:val="24"/>
          <w:szCs w:val="24"/>
        </w:rPr>
        <w:t xml:space="preserve">La délégation interministérielle à la lutte contre le racisme, l’antisémitisme et la haine anti- LGBT (DILCRAH) soutient et encourage les initiatives de la société civile engagée contre les haines et les discriminations. </w:t>
      </w:r>
      <w:r/>
    </w:p>
    <w:p>
      <w:pPr>
        <w:pStyle w:val="Normal"/>
        <w:spacing w:before="0" w:after="120"/>
        <w:jc w:val="both"/>
        <w:rPr>
          <w:sz w:val="24"/>
          <w:sz w:val="24"/>
          <w:szCs w:val="24"/>
          <w:rFonts w:cs="Calibri" w:cstheme="minorHAnsi"/>
          <w:color w:val="FF0000"/>
        </w:rPr>
      </w:pPr>
      <w:r>
        <w:rPr>
          <w:rFonts w:cs="Calibri" w:cstheme="minorHAnsi"/>
          <w:color w:val="365F91" w:themeColor="accent1" w:themeShade="bf"/>
          <w:sz w:val="24"/>
          <w:szCs w:val="24"/>
        </w:rPr>
        <w:t xml:space="preserve">En 2018, 212 projets de lutte contre la haine et les discriminations anti-LGBT répartis dans 82 départements ainsi que 560 actions </w:t>
      </w:r>
      <w:r>
        <w:rPr>
          <w:rFonts w:cs="Calibri" w:cstheme="minorHAnsi"/>
          <w:color w:val="1F497D" w:themeColor="text2"/>
          <w:sz w:val="24"/>
          <w:szCs w:val="24"/>
        </w:rPr>
        <w:t>de lutte contre le racisme et l’antisémitisme, répartis dans</w:t>
      </w:r>
      <w:r>
        <w:rPr>
          <w:rFonts w:cs="Calibri" w:cstheme="minorHAnsi"/>
          <w:color w:val="FF0000"/>
          <w:sz w:val="24"/>
          <w:szCs w:val="24"/>
        </w:rPr>
        <w:t xml:space="preserve"> </w:t>
      </w:r>
      <w:r>
        <w:rPr>
          <w:rFonts w:cs="Calibri" w:cstheme="minorHAnsi"/>
          <w:color w:val="1F497D" w:themeColor="text2"/>
          <w:sz w:val="24"/>
          <w:szCs w:val="24"/>
        </w:rPr>
        <w:t>90 départements, ont été subventionnés et sont venus compléter la mobilisation et l’action des services de l’Etat et des collectivités territoriales contre le racisme, l’antisémitisme et les discriminations anti-LGBT.</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Fort du succès rencontré lors des précédentes éditions, la DILCRAH a souhaité</w:t>
      </w:r>
      <w:r>
        <w:rPr>
          <w:color w:val="1F497D" w:themeColor="text2"/>
          <w:sz w:val="24"/>
          <w:szCs w:val="24"/>
        </w:rPr>
        <w:t xml:space="preserve"> renforcer la visibilité et la cohérence de ces soutiens en fusionnant le calendrier des deux dispositifs « lutte contre le racisme et l’antisémitisme » et « lutte contre la haine et les discriminations anti-LGBT ». Doté de deux enveloppes de 1 ,8 million d’euros et 500.000 euros, ce nouvel appel </w:t>
      </w:r>
      <w:r>
        <w:rPr>
          <w:rFonts w:cs="Calibri" w:cstheme="minorHAnsi"/>
          <w:color w:val="1F497D" w:themeColor="text2"/>
          <w:sz w:val="24"/>
          <w:szCs w:val="24"/>
        </w:rPr>
        <w:t>permettra de promouvoir des projets citoyens</w:t>
      </w:r>
      <w:r>
        <w:rPr>
          <w:color w:val="1F497D" w:themeColor="text2"/>
          <w:sz w:val="24"/>
          <w:szCs w:val="24"/>
        </w:rPr>
        <w:t xml:space="preserve"> </w:t>
      </w:r>
      <w:r>
        <w:rPr>
          <w:rFonts w:cs="Calibri" w:cstheme="minorHAnsi"/>
          <w:color w:val="1F497D" w:themeColor="text2"/>
          <w:sz w:val="24"/>
          <w:szCs w:val="24"/>
        </w:rPr>
        <w:t>liés à l’éducation, la prévention, la formation et l’aide aux victimes, ainsi que les actions de communication et l’organisation d’événements en lien avec la lutte contre le racisme et l’antisémitisme et la lutte contre la haine et les discriminations anti-LGBT.</w:t>
      </w:r>
      <w:r/>
    </w:p>
    <w:p>
      <w:pPr>
        <w:pStyle w:val="Normal"/>
        <w:spacing w:before="0" w:after="120"/>
        <w:jc w:val="both"/>
        <w:rPr>
          <w:sz w:val="24"/>
          <w:b/>
          <w:sz w:val="24"/>
          <w:b/>
          <w:szCs w:val="24"/>
          <w:rFonts w:cs="Calibri" w:cstheme="minorHAnsi"/>
          <w:color w:val="1F497D" w:themeColor="text2"/>
        </w:rPr>
      </w:pPr>
      <w:r>
        <w:rPr>
          <w:rFonts w:cs="Calibri" w:cstheme="minorHAnsi"/>
          <w:b/>
          <w:color w:val="1F497D" w:themeColor="text2"/>
          <w:sz w:val="24"/>
          <w:szCs w:val="24"/>
        </w:rPr>
        <w:t>Ensemble, continuons à faire reculer la haine !</w:t>
      </w:r>
      <w:r/>
    </w:p>
    <w:p>
      <w:pPr>
        <w:pStyle w:val="Titre1"/>
        <w:spacing w:before="120" w:after="120"/>
        <w:jc w:val="center"/>
        <w:rPr>
          <w:smallCaps/>
          <w:color w:val="1F497D" w:themeColor="text2"/>
        </w:rPr>
      </w:pPr>
      <w:r>
        <w:rPr>
          <w:smallCaps/>
          <w:color w:val="1F497D" w:themeColor="text2"/>
          <w:sz w:val="32"/>
          <w:szCs w:val="32"/>
        </w:rPr>
        <w:t>Qui peut candidater</w:t>
      </w:r>
      <w:r>
        <w:rPr>
          <w:smallCaps/>
          <w:color w:val="1F497D" w:themeColor="text2"/>
        </w:rPr>
        <w:t> ?</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 xml:space="preserve">Cet appel à projets s’adresse d’abord aux structures dont l’objet principal est de lutter contre le racisme, l’antisémitisme et les discriminations anti-LGBT, et/ou de promouvoir les valeurs de la République, et/ou de mener une action éducative et pédagogique. Elles peuvent être constituées de professionnels et/ou de bénévoles, de type associatif ou non. Peuvent donc notamment candidater les associations loi 1901, les établissements culturels, les établissements scolaires et universitaires. </w:t>
      </w:r>
      <w:r/>
    </w:p>
    <w:p>
      <w:pPr>
        <w:pStyle w:val="Titre1"/>
        <w:spacing w:before="120" w:after="120"/>
        <w:jc w:val="center"/>
        <w:rPr>
          <w:smallCaps/>
          <w:sz w:val="32"/>
          <w:b/>
          <w:sz w:val="32"/>
          <w:b/>
          <w:szCs w:val="32"/>
          <w:bCs/>
          <w:rFonts w:ascii="Cambria" w:hAnsi="Cambria" w:eastAsia="" w:cs=""/>
          <w:color w:val="244061" w:themeColor="accent1" w:themeShade="80"/>
        </w:rPr>
      </w:pPr>
      <w:r>
        <w:rPr>
          <w:smallCaps/>
          <w:color w:val="244061" w:themeColor="accent1" w:themeShade="80"/>
          <w:sz w:val="32"/>
          <w:szCs w:val="32"/>
        </w:rPr>
      </w:r>
      <w:r/>
    </w:p>
    <w:p>
      <w:pPr>
        <w:pStyle w:val="Titre1"/>
        <w:spacing w:before="120" w:after="120"/>
        <w:jc w:val="center"/>
        <w:rPr>
          <w:smallCaps/>
          <w:sz w:val="32"/>
          <w:sz w:val="32"/>
          <w:szCs w:val="32"/>
          <w:color w:val="1F497D" w:themeColor="text2"/>
        </w:rPr>
      </w:pPr>
      <w:r>
        <w:rPr>
          <w:smallCaps/>
          <w:color w:val="1F497D" w:themeColor="text2"/>
          <w:sz w:val="32"/>
          <w:szCs w:val="32"/>
        </w:rPr>
        <w:t>Quels projets peuvent être soutenus ?</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 xml:space="preserve">Cet appel à projets a pour but de soutenir les actions </w:t>
      </w:r>
      <w:r>
        <w:rPr>
          <w:rFonts w:cs="Calibri" w:cstheme="minorHAnsi"/>
          <w:b/>
          <w:color w:val="1F497D" w:themeColor="text2"/>
          <w:sz w:val="24"/>
          <w:szCs w:val="24"/>
        </w:rPr>
        <w:t xml:space="preserve">à portée territoriale </w:t>
      </w:r>
      <w:r>
        <w:rPr>
          <w:rFonts w:cs="Calibri" w:cstheme="minorHAnsi"/>
          <w:color w:val="1F497D" w:themeColor="text2"/>
          <w:sz w:val="24"/>
          <w:szCs w:val="24"/>
        </w:rPr>
        <w:t xml:space="preserve">qui s’inscrivent dans les objectifs du «plan national de lutte contre le racisme et l’antisémitisme 2018-2020» et du « plan de mobilisation contre la haine et les discriminations anti-LGBT » librement consultables et </w:t>
      </w:r>
      <w:hyperlink r:id="rId3">
        <w:r>
          <w:rPr>
            <w:rStyle w:val="LienInternet"/>
            <w:color w:val="1F497D" w:themeColor="text2"/>
            <w:sz w:val="24"/>
            <w:szCs w:val="24"/>
          </w:rPr>
          <w:t>téléchargeable</w:t>
        </w:r>
      </w:hyperlink>
      <w:r>
        <w:rPr>
          <w:color w:val="1F497D" w:themeColor="text2"/>
          <w:sz w:val="24"/>
          <w:szCs w:val="24"/>
        </w:rPr>
        <w:t>s</w:t>
      </w:r>
      <w:r>
        <w:rPr>
          <w:rStyle w:val="Ancredenotedebasdepage"/>
          <w:color w:val="1F497D" w:themeColor="text2"/>
          <w:sz w:val="24"/>
          <w:szCs w:val="24"/>
        </w:rPr>
        <w:footnoteReference w:id="2"/>
      </w:r>
      <w:r>
        <w:rPr>
          <w:rFonts w:cs="Calibri" w:cstheme="minorHAnsi"/>
          <w:color w:val="1F497D" w:themeColor="text2"/>
          <w:sz w:val="24"/>
          <w:szCs w:val="24"/>
        </w:rPr>
        <w:t>.</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 xml:space="preserve">Sont ainsi éligibles des projets qui visent notamment à la réalisation de l’un ou plusieurs de ces objectifs : </w:t>
      </w:r>
      <w:r/>
    </w:p>
    <w:p>
      <w:pPr>
        <w:pStyle w:val="Normal"/>
        <w:spacing w:lineRule="auto" w:line="240"/>
        <w:ind w:left="1276" w:hanging="0"/>
        <w:jc w:val="both"/>
        <w:rPr>
          <w:sz w:val="24"/>
          <w:sz w:val="24"/>
          <w:szCs w:val="24"/>
          <w:rFonts w:cs="Calibri" w:cstheme="minorHAnsi"/>
          <w:color w:val="1F497D" w:themeColor="text2"/>
        </w:rPr>
      </w:pPr>
      <w:r>
        <w:rPr>
          <w:rFonts w:cs="Calibri" w:cstheme="minorHAnsi"/>
          <w:color w:val="1F497D" w:themeColor="text2"/>
          <w:sz w:val="24"/>
          <w:szCs w:val="24"/>
        </w:rPr>
        <w:t xml:space="preserve">• </w:t>
      </w:r>
      <w:r>
        <w:rPr>
          <w:rFonts w:cs="Calibri" w:cstheme="minorHAnsi"/>
          <w:color w:val="1F497D" w:themeColor="text2"/>
          <w:sz w:val="24"/>
          <w:szCs w:val="24"/>
        </w:rPr>
        <w:t xml:space="preserve">la connaissance de l’autre, l’engagement citoyen et le bien-vivre ensemble, la lutte contre les préjugés et les stéréotypes, par des actions à destination des jeunes, sur et hors temps scolaire </w:t>
      </w:r>
      <w:r/>
    </w:p>
    <w:p>
      <w:pPr>
        <w:pStyle w:val="Normal"/>
        <w:ind w:left="1276" w:hanging="0"/>
        <w:jc w:val="both"/>
        <w:rPr>
          <w:sz w:val="24"/>
          <w:sz w:val="24"/>
          <w:szCs w:val="24"/>
          <w:rFonts w:cs="Calibri" w:cstheme="minorHAnsi"/>
          <w:color w:val="1F497D" w:themeColor="text2"/>
        </w:rPr>
      </w:pPr>
      <w:r>
        <w:rPr>
          <w:rFonts w:cs="Calibri" w:cstheme="minorHAnsi"/>
          <w:color w:val="1F497D" w:themeColor="text2"/>
          <w:sz w:val="24"/>
          <w:szCs w:val="24"/>
        </w:rPr>
        <w:t>•</w:t>
      </w:r>
      <w:r>
        <w:rPr>
          <w:rFonts w:cs="Calibri" w:cstheme="minorHAnsi"/>
          <w:color w:val="1F497D" w:themeColor="text2"/>
          <w:sz w:val="24"/>
          <w:szCs w:val="24"/>
        </w:rPr>
        <w:tab/>
        <w:t>la production de ressources et de contre-discours en ligne ainsi que le développement du signalement des discours de haine sur internet</w:t>
      </w:r>
      <w:r/>
    </w:p>
    <w:p>
      <w:pPr>
        <w:pStyle w:val="Normal"/>
        <w:ind w:left="1276" w:hanging="0"/>
        <w:jc w:val="both"/>
        <w:rPr>
          <w:sz w:val="24"/>
          <w:sz w:val="24"/>
          <w:szCs w:val="24"/>
          <w:rFonts w:cs="Calibri" w:cstheme="minorHAnsi"/>
          <w:color w:val="FF0000"/>
        </w:rPr>
      </w:pPr>
      <w:r>
        <w:rPr>
          <w:rFonts w:cs="Calibri" w:cstheme="minorHAnsi"/>
          <w:color w:val="1F497D" w:themeColor="text2"/>
          <w:sz w:val="24"/>
          <w:szCs w:val="24"/>
        </w:rPr>
        <w:t>•</w:t>
      </w:r>
      <w:r>
        <w:rPr>
          <w:rFonts w:cs="Calibri" w:cstheme="minorHAnsi"/>
          <w:color w:val="FF0000"/>
          <w:sz w:val="24"/>
          <w:szCs w:val="24"/>
        </w:rPr>
        <w:tab/>
      </w:r>
      <w:r>
        <w:rPr>
          <w:rFonts w:cs="Calibri" w:cstheme="minorHAnsi"/>
          <w:color w:val="1F497D" w:themeColor="text2"/>
          <w:sz w:val="24"/>
          <w:szCs w:val="24"/>
        </w:rPr>
        <w:t>le soutien à des projets citoyens liés à l’information, la prévention, la formation et l’aide aux victimes, ainsi que les actions de communication et l’organisation d’événements contre la haine et les discriminations anti-LGBT</w:t>
      </w:r>
      <w:r>
        <w:rPr>
          <w:rFonts w:cs="Calibri" w:cstheme="minorHAnsi"/>
          <w:color w:val="FF0000"/>
          <w:sz w:val="24"/>
          <w:szCs w:val="24"/>
        </w:rPr>
        <w:t xml:space="preserve"> </w:t>
      </w:r>
      <w:r/>
    </w:p>
    <w:p>
      <w:pPr>
        <w:pStyle w:val="Normal"/>
        <w:ind w:left="1276" w:hanging="0"/>
        <w:jc w:val="both"/>
        <w:rPr>
          <w:sz w:val="24"/>
          <w:sz w:val="24"/>
          <w:szCs w:val="24"/>
          <w:rFonts w:cs="Calibri" w:cstheme="minorHAnsi"/>
          <w:color w:val="1F497D" w:themeColor="text2"/>
        </w:rPr>
      </w:pPr>
      <w:r>
        <w:rPr>
          <w:rFonts w:cs="Calibri" w:cstheme="minorHAnsi"/>
          <w:color w:val="1F497D" w:themeColor="text2"/>
          <w:sz w:val="24"/>
          <w:szCs w:val="24"/>
        </w:rPr>
        <w:t>•</w:t>
      </w:r>
      <w:r>
        <w:rPr>
          <w:rFonts w:cs="Calibri" w:cstheme="minorHAnsi"/>
          <w:color w:val="1F497D" w:themeColor="text2"/>
          <w:sz w:val="24"/>
          <w:szCs w:val="24"/>
        </w:rPr>
        <w:tab/>
        <w:t>la valorisation des lieux d’histoire et de mémoire</w:t>
      </w:r>
      <w:r/>
    </w:p>
    <w:p>
      <w:pPr>
        <w:pStyle w:val="Normal"/>
        <w:spacing w:lineRule="auto" w:line="240"/>
        <w:ind w:left="1276" w:hanging="0"/>
        <w:jc w:val="both"/>
        <w:rPr>
          <w:sz w:val="24"/>
          <w:sz w:val="24"/>
          <w:szCs w:val="24"/>
          <w:rFonts w:cs="Calibri" w:cstheme="minorHAnsi"/>
          <w:color w:val="1F497D" w:themeColor="text2"/>
        </w:rPr>
      </w:pPr>
      <w:r>
        <w:rPr>
          <w:rFonts w:cs="Calibri" w:cstheme="minorHAnsi"/>
          <w:color w:val="1F497D" w:themeColor="text2"/>
          <w:sz w:val="24"/>
          <w:szCs w:val="24"/>
        </w:rPr>
        <w:t>•</w:t>
      </w:r>
      <w:r>
        <w:rPr>
          <w:rFonts w:cs="Calibri" w:cstheme="minorHAnsi"/>
          <w:color w:val="1F497D" w:themeColor="text2"/>
          <w:sz w:val="24"/>
          <w:szCs w:val="24"/>
        </w:rPr>
        <w:tab/>
        <w:t>l’accompagnement et la formation des acteurs de la lutte contre le racisme et l’antisémitisme et/ou les discriminations anti-LGBT</w:t>
      </w:r>
      <w:r/>
    </w:p>
    <w:p>
      <w:pPr>
        <w:pStyle w:val="Normal"/>
        <w:ind w:left="1276" w:hanging="0"/>
        <w:jc w:val="both"/>
        <w:rPr>
          <w:sz w:val="24"/>
          <w:sz w:val="24"/>
          <w:szCs w:val="24"/>
          <w:rFonts w:cs="Calibri" w:cstheme="minorHAnsi"/>
          <w:color w:val="1F497D" w:themeColor="text2"/>
        </w:rPr>
      </w:pPr>
      <w:r>
        <w:rPr>
          <w:rFonts w:cs="Calibri" w:cstheme="minorHAnsi"/>
          <w:color w:val="1F497D" w:themeColor="text2"/>
          <w:sz w:val="24"/>
          <w:szCs w:val="24"/>
        </w:rPr>
        <w:t>•</w:t>
      </w:r>
      <w:r>
        <w:rPr>
          <w:rFonts w:cs="Calibri" w:cstheme="minorHAnsi"/>
          <w:color w:val="1F497D" w:themeColor="text2"/>
          <w:sz w:val="24"/>
          <w:szCs w:val="24"/>
        </w:rPr>
        <w:tab/>
        <w:t xml:space="preserve">le développement de mesures de responsabilisation </w:t>
      </w:r>
      <w:r/>
    </w:p>
    <w:p>
      <w:pPr>
        <w:pStyle w:val="Normal"/>
        <w:ind w:left="1276" w:hanging="0"/>
        <w:jc w:val="both"/>
        <w:rPr>
          <w:sz w:val="24"/>
          <w:sz w:val="24"/>
          <w:szCs w:val="24"/>
          <w:rFonts w:cs="Calibri" w:cstheme="minorHAnsi"/>
          <w:color w:val="1F497D" w:themeColor="text2"/>
        </w:rPr>
      </w:pPr>
      <w:r>
        <w:rPr>
          <w:rFonts w:cs="Calibri" w:cstheme="minorHAnsi"/>
          <w:color w:val="1F497D" w:themeColor="text2"/>
          <w:sz w:val="24"/>
          <w:szCs w:val="24"/>
        </w:rPr>
        <w:t>•</w:t>
      </w:r>
      <w:r>
        <w:rPr>
          <w:rFonts w:cs="Calibri" w:cstheme="minorHAnsi"/>
          <w:color w:val="1F497D" w:themeColor="text2"/>
          <w:sz w:val="24"/>
          <w:szCs w:val="24"/>
        </w:rPr>
        <w:tab/>
        <w:t>l’accompagnement des victimes de racisme, d’antisémitisme et/ou de discriminations anti-LGBT</w:t>
      </w:r>
      <w:r/>
    </w:p>
    <w:p>
      <w:pPr>
        <w:pStyle w:val="Normal"/>
        <w:spacing w:lineRule="auto" w:line="240"/>
        <w:ind w:left="1276" w:hanging="0"/>
        <w:jc w:val="both"/>
        <w:rPr>
          <w:sz w:val="24"/>
          <w:sz w:val="24"/>
          <w:szCs w:val="24"/>
          <w:rFonts w:cs="Calibri" w:cstheme="minorHAnsi"/>
          <w:color w:val="1F497D" w:themeColor="text2"/>
        </w:rPr>
      </w:pPr>
      <w:r>
        <w:rPr>
          <w:rFonts w:cs="Calibri" w:cstheme="minorHAnsi"/>
          <w:color w:val="1F497D" w:themeColor="text2"/>
          <w:sz w:val="24"/>
          <w:szCs w:val="24"/>
        </w:rPr>
        <w:t>•</w:t>
      </w:r>
      <w:r>
        <w:rPr>
          <w:rFonts w:cs="Calibri" w:cstheme="minorHAnsi"/>
          <w:color w:val="1F497D" w:themeColor="text2"/>
          <w:sz w:val="24"/>
          <w:szCs w:val="24"/>
        </w:rPr>
        <w:tab/>
        <w:t>la participation à la semaine d’éducation et d’action contre le racisme et l’antisémitisme du 18 au 24 mars 2019</w:t>
      </w:r>
      <w:r/>
    </w:p>
    <w:p>
      <w:pPr>
        <w:pStyle w:val="Normal"/>
        <w:spacing w:lineRule="auto" w:line="240"/>
        <w:ind w:left="1276" w:hanging="0"/>
        <w:jc w:val="both"/>
        <w:rPr>
          <w:sz w:val="24"/>
          <w:sz w:val="24"/>
          <w:szCs w:val="24"/>
          <w:rFonts w:cs="Calibri" w:cstheme="minorHAnsi"/>
          <w:color w:val="1F497D" w:themeColor="text2"/>
        </w:rPr>
      </w:pPr>
      <w:r>
        <w:rPr>
          <w:rFonts w:cs="Calibri" w:cstheme="minorHAnsi"/>
          <w:color w:val="1F497D" w:themeColor="text2"/>
          <w:sz w:val="24"/>
          <w:szCs w:val="24"/>
        </w:rPr>
        <w:t>•</w:t>
      </w:r>
      <w:r>
        <w:rPr>
          <w:rFonts w:cs="Calibri" w:cstheme="minorHAnsi"/>
          <w:color w:val="1F497D" w:themeColor="text2"/>
          <w:sz w:val="24"/>
          <w:szCs w:val="24"/>
        </w:rPr>
        <w:tab/>
        <w:t>la participation aux évènements LGBT qui se dérouleront autour du 17 mai, «Journée internationale de lutte contre l'homophobie et la transphobie» et en juin 2019</w:t>
      </w:r>
      <w:r/>
    </w:p>
    <w:p>
      <w:pPr>
        <w:pStyle w:val="Normal"/>
        <w:spacing w:lineRule="auto" w:line="240"/>
        <w:ind w:left="1276" w:hanging="0"/>
        <w:jc w:val="both"/>
        <w:rPr>
          <w:sz w:val="24"/>
          <w:sz w:val="24"/>
          <w:szCs w:val="24"/>
          <w:rFonts w:cs="Calibri" w:cstheme="minorHAnsi"/>
          <w:color w:val="1F497D" w:themeColor="text2"/>
        </w:rPr>
      </w:pPr>
      <w:r>
        <w:rPr>
          <w:rFonts w:cs="Calibri" w:cstheme="minorHAnsi"/>
          <w:color w:val="1F497D" w:themeColor="text2"/>
          <w:sz w:val="24"/>
          <w:szCs w:val="24"/>
        </w:rPr>
      </w:r>
      <w:r/>
    </w:p>
    <w:p>
      <w:pPr>
        <w:pStyle w:val="Titre1"/>
        <w:spacing w:before="120" w:after="120"/>
        <w:jc w:val="center"/>
        <w:rPr>
          <w:smallCaps/>
          <w:sz w:val="32"/>
          <w:sz w:val="32"/>
          <w:szCs w:val="32"/>
          <w:color w:val="1F497D" w:themeColor="text2"/>
        </w:rPr>
      </w:pPr>
      <w:r>
        <w:rPr>
          <w:caps/>
          <w:color w:val="1F497D" w:themeColor="text2"/>
        </w:rPr>
        <w:t xml:space="preserve">Quels projets seront réjetes </w:t>
      </w:r>
      <w:r>
        <w:rPr>
          <w:smallCaps/>
          <w:color w:val="1F497D" w:themeColor="text2"/>
          <w:sz w:val="32"/>
          <w:szCs w:val="32"/>
        </w:rPr>
        <w:t>?</w:t>
      </w:r>
      <w:r/>
    </w:p>
    <w:p>
      <w:pPr>
        <w:pStyle w:val="Normal"/>
        <w:spacing w:lineRule="auto" w:line="240"/>
        <w:jc w:val="both"/>
        <w:rPr>
          <w:sz w:val="24"/>
          <w:sz w:val="24"/>
          <w:szCs w:val="24"/>
          <w:rFonts w:cs="Calibri" w:cstheme="minorHAnsi"/>
          <w:color w:val="1F497D" w:themeColor="text2"/>
        </w:rPr>
      </w:pPr>
      <w:r>
        <w:rPr>
          <w:rFonts w:cs="Calibri" w:cstheme="minorHAnsi"/>
          <w:color w:val="1F497D" w:themeColor="text2"/>
          <w:sz w:val="24"/>
          <w:szCs w:val="24"/>
        </w:rPr>
        <w:t>Ne seront pas retenus les projets trop généraux ou ne faisant pas de lien concret et direct avec la lutte contre le racisme, l’antisémitisme, la haine et/ou les discriminations anti-LGBT (généralités sur « la citoyenneté », « le vivre-ensemble », « les valeurs »  comme par exemple: « les valeurs du sport », projet portant exclusivement sur l’égalité femme-homme, la radicalisation, etc).</w:t>
      </w:r>
      <w:r/>
    </w:p>
    <w:p>
      <w:pPr>
        <w:pStyle w:val="Normal"/>
        <w:spacing w:lineRule="auto" w:line="240"/>
        <w:jc w:val="both"/>
        <w:rPr>
          <w:sz w:val="24"/>
          <w:sz w:val="24"/>
          <w:szCs w:val="24"/>
          <w:rFonts w:cs="Calibri" w:cstheme="minorHAnsi"/>
          <w:color w:val="1F497D" w:themeColor="text2"/>
        </w:rPr>
      </w:pPr>
      <w:r>
        <w:rPr>
          <w:rFonts w:cs="Calibri" w:cstheme="minorHAnsi"/>
          <w:color w:val="1F497D" w:themeColor="text2"/>
          <w:sz w:val="24"/>
          <w:szCs w:val="24"/>
        </w:rPr>
      </w:r>
      <w:r/>
    </w:p>
    <w:p>
      <w:pPr>
        <w:pStyle w:val="Titre1"/>
        <w:spacing w:before="120" w:after="120"/>
        <w:jc w:val="center"/>
        <w:rPr>
          <w:smallCaps/>
          <w:sz w:val="32"/>
          <w:sz w:val="32"/>
          <w:szCs w:val="32"/>
          <w:color w:val="1F497D" w:themeColor="text2"/>
        </w:rPr>
      </w:pPr>
      <w:r>
        <w:rPr>
          <w:smallCaps/>
          <w:color w:val="1F497D" w:themeColor="text2"/>
          <w:sz w:val="32"/>
          <w:szCs w:val="32"/>
        </w:rPr>
        <w:t>Comment seront sélectionnées les candidatures ?</w:t>
      </w:r>
      <w:r/>
    </w:p>
    <w:p>
      <w:pPr>
        <w:pStyle w:val="Normal"/>
        <w:jc w:val="both"/>
        <w:rPr>
          <w:sz w:val="24"/>
          <w:sz w:val="24"/>
          <w:szCs w:val="24"/>
          <w:rFonts w:cs="Calibri" w:cstheme="minorHAnsi"/>
          <w:color w:val="1F497D" w:themeColor="text2"/>
        </w:rPr>
      </w:pPr>
      <w:r>
        <w:rPr>
          <w:color w:val="1F497D" w:themeColor="text2"/>
          <w:sz w:val="24"/>
          <w:szCs w:val="24"/>
        </w:rPr>
        <w:t xml:space="preserve">Les candidatures font d’abord l’objet d’une instruction et d’une pré-sélection locale dans le cadre des Comités Opérationnels de lutte contre le Racisme et l’Antisémitisme (CORA), présidés par le préfet du département. </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La DILCRAH procède, nationalement, à l’étude finale des projets et décide du montant de la subvention allouée pour chaque dossier retenu. La DILCRAH s’assure notamment du respect des objectifs précédemment cités  et de l’équité territoriale.</w:t>
      </w:r>
      <w:r/>
    </w:p>
    <w:p>
      <w:pPr>
        <w:pStyle w:val="Titre1"/>
        <w:spacing w:before="120" w:after="120"/>
        <w:jc w:val="center"/>
        <w:rPr>
          <w:smallCaps/>
          <w:sz w:val="32"/>
          <w:b/>
          <w:sz w:val="32"/>
          <w:b/>
          <w:szCs w:val="32"/>
          <w:bCs/>
          <w:rFonts w:ascii="Cambria" w:hAnsi="Cambria" w:eastAsia="" w:cs=""/>
          <w:color w:val="244061" w:themeColor="accent1" w:themeShade="80"/>
        </w:rPr>
      </w:pPr>
      <w:r>
        <w:rPr>
          <w:smallCaps/>
          <w:color w:val="244061" w:themeColor="accent1" w:themeShade="80"/>
          <w:sz w:val="32"/>
          <w:szCs w:val="32"/>
        </w:rPr>
      </w:r>
      <w:r/>
    </w:p>
    <w:p>
      <w:pPr>
        <w:pStyle w:val="Titre1"/>
        <w:spacing w:before="120" w:after="120"/>
        <w:jc w:val="center"/>
        <w:rPr>
          <w:smallCaps/>
          <w:sz w:val="32"/>
          <w:sz w:val="32"/>
          <w:szCs w:val="32"/>
          <w:color w:val="244061" w:themeColor="accent1" w:themeShade="80"/>
        </w:rPr>
      </w:pPr>
      <w:r>
        <w:rPr>
          <w:smallCaps/>
          <w:color w:val="244061" w:themeColor="accent1" w:themeShade="80"/>
          <w:sz w:val="32"/>
          <w:szCs w:val="32"/>
        </w:rPr>
        <w:t>Quels sont les engagements des lauréats ?</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Les lauréats s’engagent à mettre en œuvre leur projet dans le courant de l’année 2019.</w:t>
      </w:r>
      <w:r>
        <w:rPr>
          <w:rFonts w:cs="Calibri" w:cstheme="minorHAnsi"/>
          <w:color w:val="FF0000"/>
          <w:sz w:val="24"/>
          <w:szCs w:val="24"/>
        </w:rPr>
        <w:t xml:space="preserve"> </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Les lauréats s’engagent à respecter les valeurs de la République.</w:t>
      </w:r>
      <w:r/>
    </w:p>
    <w:p>
      <w:pPr>
        <w:pStyle w:val="Normal"/>
        <w:jc w:val="both"/>
        <w:rPr>
          <w:sz w:val="24"/>
          <w:sz w:val="24"/>
          <w:szCs w:val="24"/>
          <w:rFonts w:cs="Calibri" w:cstheme="minorHAnsi"/>
          <w:color w:val="1F497D" w:themeColor="text2"/>
        </w:rPr>
      </w:pPr>
      <w:r>
        <w:rPr>
          <w:rFonts w:cs="Calibri" w:cstheme="minorHAnsi"/>
          <w:color w:val="1F497D" w:themeColor="text2"/>
          <w:sz w:val="24"/>
          <w:szCs w:val="24"/>
        </w:rPr>
        <w:t xml:space="preserve">Les lauréats doivent apposer le logo de la DILCRAH sur tous les supports de communication relatifs à l’action financée. </w:t>
      </w:r>
      <w:r/>
    </w:p>
    <w:p>
      <w:pPr>
        <w:pStyle w:val="Normal"/>
        <w:rPr>
          <w:sz w:val="24"/>
          <w:sz w:val="24"/>
          <w:szCs w:val="24"/>
          <w:rFonts w:cs="Calibri" w:cstheme="minorHAnsi"/>
          <w:color w:val="1F497D" w:themeColor="text2"/>
        </w:rPr>
      </w:pPr>
      <w:r>
        <w:rPr>
          <w:rFonts w:cs="Calibri" w:cstheme="minorHAnsi"/>
          <w:color w:val="1F497D" w:themeColor="text2"/>
          <w:sz w:val="24"/>
          <w:szCs w:val="24"/>
        </w:rPr>
        <w:t>Les lauréats s’engagent à rendre compte de leur action :</w:t>
      </w:r>
      <w:r/>
    </w:p>
    <w:p>
      <w:pPr>
        <w:pStyle w:val="Normal"/>
        <w:rPr>
          <w:sz w:val="24"/>
          <w:sz w:val="24"/>
          <w:szCs w:val="24"/>
          <w:rFonts w:cs="Calibri" w:cstheme="minorHAnsi"/>
          <w:color w:val="1F497D" w:themeColor="text2"/>
        </w:rPr>
      </w:pPr>
      <w:r>
        <w:rPr>
          <w:rFonts w:cs="Calibri" w:cstheme="minorHAnsi"/>
          <w:color w:val="1F497D" w:themeColor="text2"/>
          <w:sz w:val="24"/>
          <w:szCs w:val="24"/>
        </w:rPr>
        <w:tab/>
        <w:t xml:space="preserve">- par l’intermédiaire de la plate-forme des partenaires de la DILCRAH, </w:t>
      </w:r>
      <w:r>
        <w:rPr>
          <w:rStyle w:val="Strong"/>
          <w:b w:val="false"/>
          <w:color w:val="1F497D" w:themeColor="text2"/>
          <w:sz w:val="24"/>
          <w:szCs w:val="24"/>
        </w:rPr>
        <w:t xml:space="preserve">accessible à </w:t>
        <w:tab/>
        <w:t>l'adresse suivante :</w:t>
      </w:r>
      <w:r>
        <w:rPr>
          <w:color w:val="1F497D" w:themeColor="text2"/>
        </w:rPr>
        <w:t xml:space="preserve"> </w:t>
      </w:r>
      <w:hyperlink r:id="rId4">
        <w:r>
          <w:rPr>
            <w:rStyle w:val="LienInternet"/>
            <w:b/>
            <w:bCs/>
          </w:rPr>
          <w:t>www.dilcrah.f</w:t>
        </w:r>
        <w:bookmarkStart w:id="0" w:name="_GoBack"/>
        <w:bookmarkEnd w:id="0"/>
        <w:r>
          <w:rPr>
            <w:rStyle w:val="LienInternet"/>
            <w:b/>
            <w:bCs/>
          </w:rPr>
          <w:t>r/partenaires/</w:t>
        </w:r>
      </w:hyperlink>
      <w:r/>
    </w:p>
    <w:p>
      <w:pPr>
        <w:sectPr>
          <w:headerReference w:type="default" r:id="rId5"/>
          <w:footerReference w:type="default" r:id="rId6"/>
          <w:footnotePr>
            <w:numFmt w:val="decimal"/>
          </w:footnotePr>
          <w:type w:val="nextPage"/>
          <w:pgSz w:w="11906" w:h="16838"/>
          <w:pgMar w:left="1417" w:right="1417" w:header="708" w:top="1417" w:footer="708" w:bottom="1417" w:gutter="0"/>
          <w:pgNumType w:fmt="decimal"/>
          <w:formProt w:val="false"/>
          <w:textDirection w:val="lrTb"/>
          <w:docGrid w:type="default" w:linePitch="360" w:charSpace="4294965247"/>
        </w:sectPr>
        <w:pStyle w:val="Normal"/>
        <w:rPr>
          <w:sz w:val="24"/>
          <w:b/>
          <w:sz w:val="24"/>
          <w:b/>
          <w:szCs w:val="24"/>
          <w:rFonts w:cs="Calibri" w:cstheme="minorHAnsi"/>
          <w:color w:val="1F497D" w:themeColor="text2"/>
        </w:rPr>
      </w:pPr>
      <w:r>
        <w:rPr>
          <w:rFonts w:cs="Calibri" w:cstheme="minorHAnsi"/>
          <w:color w:val="1F497D" w:themeColor="text2"/>
          <w:sz w:val="24"/>
          <w:szCs w:val="24"/>
        </w:rPr>
        <w:tab/>
        <w:t xml:space="preserve">- par l’envoi, à l’issue de l’action, des pièces justificatives à la préfecture concernée et </w:t>
        <w:tab/>
        <w:t>à la DILCRAH.</w:t>
      </w:r>
      <w:r/>
    </w:p>
    <w:p>
      <w:pPr>
        <w:pStyle w:val="Titre1"/>
        <w:jc w:val="center"/>
        <w:rPr>
          <w:i/>
          <w:i/>
          <w:color w:val="00000A"/>
        </w:rPr>
      </w:pPr>
      <w:r>
        <w:rPr>
          <w:i/>
          <w:color w:val="00000A"/>
        </w:rPr>
        <w:t>SECTION PERSONNALISABLE</w:t>
      </w:r>
      <w:r/>
    </w:p>
    <w:p>
      <w:pPr>
        <w:pStyle w:val="Titre1"/>
        <w:spacing w:before="120" w:after="120"/>
        <w:jc w:val="center"/>
        <w:rPr>
          <w:smallCaps/>
          <w:sz w:val="32"/>
          <w:sz w:val="32"/>
          <w:szCs w:val="32"/>
          <w:color w:val="808080" w:themeColor="background1" w:themeShade="80"/>
        </w:rPr>
      </w:pPr>
      <w:r>
        <w:rPr>
          <w:smallCaps/>
          <w:color w:val="808080" w:themeColor="background1" w:themeShade="80"/>
          <w:sz w:val="32"/>
          <w:szCs w:val="32"/>
        </w:rPr>
        <w:t>Comment déposer un dossier de candidature ?</w:t>
      </w:r>
      <w:r/>
    </w:p>
    <w:p>
      <w:pPr>
        <w:pStyle w:val="Titre2"/>
        <w:jc w:val="center"/>
        <w:rPr>
          <w:color w:val="808080" w:themeColor="background1" w:themeShade="80"/>
        </w:rPr>
      </w:pPr>
      <w:r>
        <w:rPr>
          <w:color w:val="808080" w:themeColor="background1" w:themeShade="80"/>
        </w:rPr>
        <w:t>Quelles sont les pièces à fournir ?</w:t>
      </w:r>
      <w:r/>
    </w:p>
    <w:p>
      <w:pPr>
        <w:pStyle w:val="Normal"/>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 xml:space="preserve">Le dossier de candidature comporte : </w:t>
      </w:r>
      <w:r/>
    </w:p>
    <w:p>
      <w:pPr>
        <w:pStyle w:val="ListParagraph"/>
        <w:numPr>
          <w:ilvl w:val="0"/>
          <w:numId w:val="2"/>
        </w:numPr>
        <w:spacing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 formulaire CERFA N°12156*03 (annexe 2).</w:t>
      </w:r>
      <w:r/>
    </w:p>
    <w:p>
      <w:pPr>
        <w:pStyle w:val="ListParagraph"/>
        <w:numPr>
          <w:ilvl w:val="0"/>
          <w:numId w:val="2"/>
        </w:numPr>
        <w:spacing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 formulaire de synthèse du projet (annexe 3)</w:t>
      </w:r>
      <w:r/>
    </w:p>
    <w:p>
      <w:pPr>
        <w:pStyle w:val="ListParagraph"/>
        <w:numPr>
          <w:ilvl w:val="0"/>
          <w:numId w:val="2"/>
        </w:numPr>
        <w:spacing w:lineRule="auto" w:line="240"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Les statuts régulièrement déclarés, en un seul exemplaire Si l’association est enregistrée dans le RNA (Cf. page 2), il n’est pas nécessaire de les joindre.</w:t>
      </w:r>
      <w:r/>
    </w:p>
    <w:p>
      <w:pPr>
        <w:pStyle w:val="ListParagraph"/>
        <w:numPr>
          <w:ilvl w:val="0"/>
          <w:numId w:val="2"/>
        </w:numPr>
        <w:spacing w:lineRule="auto" w:line="240"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La liste des personnes chargées de l’administration de l’association régulièrement déclarée (composition du conseil, du bureau, …). Il n’est pas nécessaire de la joindre si l’association est enregistrée dans le répertoire national des associations (RNA).</w:t>
      </w:r>
      <w:r/>
    </w:p>
    <w:p>
      <w:pPr>
        <w:pStyle w:val="ListParagraph"/>
        <w:numPr>
          <w:ilvl w:val="0"/>
          <w:numId w:val="2"/>
        </w:numPr>
        <w:spacing w:lineRule="auto" w:line="240"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Un relevé d’identité bancaire, portant une adresse correspondant à celle du n° SIRET.</w:t>
      </w:r>
      <w:r/>
    </w:p>
    <w:p>
      <w:pPr>
        <w:pStyle w:val="ListParagraph"/>
        <w:numPr>
          <w:ilvl w:val="0"/>
          <w:numId w:val="2"/>
        </w:numPr>
        <w:spacing w:lineRule="auto" w:line="240"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Si le dossier de candidature n’est pas signé par le représentant légal de l’association, le pouvoir donné par ce dernier au signataire.</w:t>
      </w:r>
      <w:r/>
    </w:p>
    <w:p>
      <w:pPr>
        <w:pStyle w:val="ListParagraph"/>
        <w:numPr>
          <w:ilvl w:val="0"/>
          <w:numId w:val="2"/>
        </w:numPr>
        <w:spacing w:lineRule="auto" w:line="240"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Les comptes approuvés du dernier exercice clos.</w:t>
      </w:r>
      <w:r/>
    </w:p>
    <w:p>
      <w:pPr>
        <w:pStyle w:val="ListParagraph"/>
        <w:numPr>
          <w:ilvl w:val="0"/>
          <w:numId w:val="2"/>
        </w:numPr>
        <w:spacing w:lineRule="auto" w:line="240"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 rapport du commissaire aux comptes pour les associations qui en ont désigné un, notamment celles qui ont reçu annuellement plus de 153 000 euros de dons ou de subventions.</w:t>
      </w:r>
      <w:r/>
    </w:p>
    <w:p>
      <w:pPr>
        <w:pStyle w:val="ListParagraph"/>
        <w:numPr>
          <w:ilvl w:val="0"/>
          <w:numId w:val="2"/>
        </w:numPr>
        <w:spacing w:lineRule="auto" w:line="240"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 cas échéant, la référence de la publication sur le site internet des JO des documents ci-dessus. En ce cas, il n'est pas nécessaire de les joindre.</w:t>
      </w:r>
      <w:r/>
    </w:p>
    <w:p>
      <w:pPr>
        <w:pStyle w:val="ListParagraph"/>
        <w:numPr>
          <w:ilvl w:val="0"/>
          <w:numId w:val="2"/>
        </w:numPr>
        <w:spacing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 plus récent rapport d’activité approuvé.</w:t>
      </w:r>
      <w:r/>
    </w:p>
    <w:p>
      <w:pPr>
        <w:pStyle w:val="ListParagraph"/>
        <w:numPr>
          <w:ilvl w:val="0"/>
          <w:numId w:val="2"/>
        </w:numPr>
        <w:spacing w:before="0" w:after="120"/>
        <w:ind w:left="714" w:hanging="357"/>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t>Le compte-rendu financier de subvention si le porteur de projets a été subventionné l’année n-1</w:t>
      </w:r>
      <w:r/>
    </w:p>
    <w:p>
      <w:pPr>
        <w:pStyle w:val="Normal"/>
        <w:rPr>
          <w:sz w:val="18"/>
          <w:b/>
          <w:sz w:val="18"/>
          <w:b/>
          <w:szCs w:val="18"/>
          <w:bCs/>
          <w:rFonts w:ascii="Arial" w:hAnsi="Arial" w:cs="Arial"/>
          <w:color w:val="808080" w:themeColor="background1" w:themeShade="80"/>
        </w:rPr>
      </w:pPr>
      <w:r>
        <w:rPr>
          <w:rFonts w:cs="Arial" w:ascii="Arial" w:hAnsi="Arial"/>
          <w:b/>
          <w:bCs/>
          <w:color w:val="808080" w:themeColor="background1" w:themeShade="80"/>
          <w:sz w:val="18"/>
          <w:szCs w:val="18"/>
        </w:rPr>
      </w:r>
      <w:r/>
    </w:p>
    <w:p>
      <w:pPr>
        <w:pStyle w:val="Titre2"/>
        <w:jc w:val="center"/>
        <w:rPr>
          <w:color w:val="808080" w:themeColor="background1" w:themeShade="80"/>
        </w:rPr>
      </w:pPr>
      <w:r>
        <w:rPr>
          <w:color w:val="808080" w:themeColor="background1" w:themeShade="80"/>
        </w:rPr>
        <w:t>Où déposer mon dossier de candidature ?</w:t>
      </w:r>
      <w:r/>
    </w:p>
    <w:p>
      <w:pPr>
        <w:pStyle w:val="Normal"/>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r>
      <w:r/>
    </w:p>
    <w:p>
      <w:pPr>
        <w:pStyle w:val="Normal"/>
        <w:jc w:val="both"/>
        <w:rPr>
          <w:sz w:val="24"/>
          <w:i/>
          <w:sz w:val="24"/>
          <w:i/>
          <w:szCs w:val="24"/>
          <w:rFonts w:cs="Calibri" w:cstheme="minorHAnsi"/>
        </w:rPr>
      </w:pPr>
      <w:r>
        <w:rPr>
          <w:rFonts w:cs="Calibri" w:cstheme="minorHAnsi"/>
          <w:i/>
          <w:sz w:val="24"/>
          <w:szCs w:val="24"/>
        </w:rPr>
        <w:t>A COMPLETER (adresse, coordonnées du référent…)</w:t>
      </w:r>
      <w:r/>
    </w:p>
    <w:p>
      <w:pPr>
        <w:pStyle w:val="Normal"/>
        <w:jc w:val="both"/>
        <w:rPr>
          <w:sz w:val="24"/>
          <w:sz w:val="24"/>
          <w:szCs w:val="24"/>
          <w:rFonts w:cs="Calibri" w:cstheme="minorHAnsi"/>
          <w:color w:val="808080" w:themeColor="background1" w:themeShade="80"/>
        </w:rPr>
      </w:pPr>
      <w:r>
        <w:rPr>
          <w:rFonts w:cs="Calibri" w:cstheme="minorHAnsi"/>
          <w:color w:val="808080" w:themeColor="background1" w:themeShade="80"/>
          <w:sz w:val="24"/>
          <w:szCs w:val="24"/>
        </w:rPr>
      </w:r>
      <w:r/>
    </w:p>
    <w:p>
      <w:pPr>
        <w:pStyle w:val="Titre2"/>
        <w:jc w:val="center"/>
        <w:rPr>
          <w:color w:val="808080" w:themeColor="background1" w:themeShade="80"/>
        </w:rPr>
      </w:pPr>
      <w:r>
        <w:rPr>
          <w:color w:val="808080" w:themeColor="background1" w:themeShade="80"/>
        </w:rPr>
        <w:t>Quand et comment les lauréats de l’appel à projets seront-ils avisés?</w:t>
      </w:r>
      <w:r/>
    </w:p>
    <w:p>
      <w:pPr>
        <w:pStyle w:val="Normal"/>
        <w:jc w:val="both"/>
        <w:rPr>
          <w:sz w:val="24"/>
          <w:sz w:val="24"/>
          <w:szCs w:val="24"/>
          <w:color w:val="808080" w:themeColor="background1" w:themeShade="80"/>
        </w:rPr>
      </w:pPr>
      <w:r>
        <w:rPr>
          <w:color w:val="808080" w:themeColor="background1" w:themeShade="80"/>
          <w:sz w:val="24"/>
          <w:szCs w:val="24"/>
        </w:rPr>
        <w:t>Les lauréats de l’appel à projets seront avisés par les services de la préfecture dont ils relèvent, en janvier 2019,</w:t>
      </w:r>
      <w:r>
        <w:rPr>
          <w:color w:val="FF0000"/>
          <w:sz w:val="24"/>
          <w:szCs w:val="24"/>
        </w:rPr>
        <w:t xml:space="preserve"> </w:t>
      </w:r>
      <w:r>
        <w:rPr>
          <w:color w:val="808080" w:themeColor="background1" w:themeShade="80"/>
          <w:sz w:val="24"/>
          <w:szCs w:val="24"/>
        </w:rPr>
        <w:t xml:space="preserve">du montant de la subvention qui leur a été attribué et des modalités de versement de cette subvention. </w:t>
      </w:r>
      <w:r/>
    </w:p>
    <w:p>
      <w:pPr>
        <w:pStyle w:val="Titre1"/>
        <w:spacing w:before="120" w:after="120"/>
        <w:jc w:val="center"/>
        <w:rPr>
          <w:smallCaps/>
          <w:sz w:val="32"/>
          <w:sz w:val="32"/>
          <w:szCs w:val="32"/>
          <w:color w:val="808080" w:themeColor="background1" w:themeShade="80"/>
        </w:rPr>
      </w:pPr>
      <w:r>
        <w:rPr>
          <w:smallCaps/>
          <w:color w:val="808080" w:themeColor="background1" w:themeShade="80"/>
          <w:sz w:val="32"/>
          <w:szCs w:val="32"/>
        </w:rPr>
        <w:t>Calendrier</w:t>
      </w:r>
      <w:r/>
    </w:p>
    <w:p>
      <w:pPr>
        <w:pStyle w:val="ListParagraph"/>
        <w:numPr>
          <w:ilvl w:val="0"/>
          <w:numId w:val="1"/>
        </w:numPr>
        <w:jc w:val="both"/>
        <w:rPr>
          <w:sz w:val="24"/>
          <w:sz w:val="24"/>
          <w:szCs w:val="24"/>
          <w:rFonts w:cs="Calibri" w:cstheme="minorHAnsi"/>
        </w:rPr>
      </w:pPr>
      <w:r>
        <w:rPr>
          <w:rFonts w:cs="Calibri" w:cstheme="minorHAnsi"/>
          <w:sz w:val="24"/>
          <w:szCs w:val="24"/>
        </w:rPr>
        <w:t>Du 1</w:t>
      </w:r>
      <w:r>
        <w:rPr>
          <w:rFonts w:cs="Calibri" w:cstheme="minorHAnsi"/>
          <w:sz w:val="24"/>
          <w:szCs w:val="24"/>
          <w:vertAlign w:val="superscript"/>
        </w:rPr>
        <w:t>er</w:t>
      </w:r>
      <w:r>
        <w:rPr>
          <w:rFonts w:cs="Calibri" w:cstheme="minorHAnsi"/>
          <w:sz w:val="24"/>
          <w:szCs w:val="24"/>
        </w:rPr>
        <w:t xml:space="preserve"> octobre 2018 au 5 novembre 2018: Dépôts des candidatures</w:t>
      </w:r>
      <w:r/>
    </w:p>
    <w:p>
      <w:pPr>
        <w:pStyle w:val="ListParagraph"/>
        <w:numPr>
          <w:ilvl w:val="0"/>
          <w:numId w:val="1"/>
        </w:numPr>
        <w:jc w:val="both"/>
        <w:rPr>
          <w:sz w:val="24"/>
          <w:sz w:val="24"/>
          <w:szCs w:val="24"/>
          <w:rFonts w:cs="Calibri" w:cstheme="minorHAnsi"/>
        </w:rPr>
      </w:pPr>
      <w:r>
        <w:rPr>
          <w:rFonts w:cs="Calibri" w:cstheme="minorHAnsi"/>
          <w:sz w:val="24"/>
          <w:szCs w:val="24"/>
        </w:rPr>
        <w:t>5 novembre au 25 novembre 2018: Commissions locales de sélection</w:t>
      </w:r>
      <w:r/>
    </w:p>
    <w:p>
      <w:pPr>
        <w:pStyle w:val="ListParagraph"/>
        <w:numPr>
          <w:ilvl w:val="0"/>
          <w:numId w:val="1"/>
        </w:numPr>
        <w:jc w:val="both"/>
        <w:rPr>
          <w:sz w:val="24"/>
          <w:sz w:val="24"/>
          <w:szCs w:val="24"/>
          <w:rFonts w:cs="Calibri" w:cstheme="minorHAnsi"/>
        </w:rPr>
      </w:pPr>
      <w:r>
        <w:rPr>
          <w:rFonts w:cs="Calibri" w:cstheme="minorHAnsi"/>
          <w:sz w:val="24"/>
          <w:szCs w:val="24"/>
        </w:rPr>
        <w:t>25 novembre au 20 décembre 2018 : Commissions nationales d’attribution</w:t>
      </w:r>
      <w:r/>
    </w:p>
    <w:p>
      <w:pPr>
        <w:pStyle w:val="ListParagraph"/>
        <w:numPr>
          <w:ilvl w:val="0"/>
          <w:numId w:val="1"/>
        </w:numPr>
        <w:spacing w:before="0" w:after="200"/>
        <w:contextualSpacing/>
        <w:jc w:val="both"/>
      </w:pPr>
      <w:r>
        <w:rPr>
          <w:rFonts w:cs="Calibri" w:cstheme="minorHAnsi"/>
          <w:sz w:val="24"/>
          <w:szCs w:val="24"/>
        </w:rPr>
        <w:t>Avant le 31 janvier 2019 : Notification des résultats de l’appel à projets aux lauréats</w:t>
      </w:r>
      <w:r/>
    </w:p>
    <w:sectPr>
      <w:headerReference w:type="default" r:id="rId7"/>
      <w:footerReference w:type="default" r:id="rId8"/>
      <w:footnotePr>
        <w:numFmt w:val="decimal"/>
      </w:footnotePr>
      <w:type w:val="nextPage"/>
      <w:pgSz w:w="11906" w:h="16838"/>
      <w:pgMar w:left="1417" w:right="1417" w:header="708"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sdtPr>
    <w:sdtContent>
      <w:p>
        <w:pPr>
          <w:pStyle w:val="Pieddepage"/>
          <w:jc w:val="right"/>
          <w:rPr>
            <w:color w:val="365F91" w:themeColor="accent1" w:themeShade="bf"/>
          </w:rPr>
        </w:pPr>
        <w:r>
          <w:rPr/>
          <w:fldChar w:fldCharType="begin"/>
        </w:r>
        <w:r>
          <w:instrText> PAGE </w:instrText>
        </w:r>
        <w:r>
          <w:fldChar w:fldCharType="separate"/>
        </w:r>
        <w:r>
          <w:t>3</w:t>
        </w:r>
        <w:r>
          <w:fldChar w:fldCharType="end"/>
        </w:r>
        <w:r/>
      </w:p>
    </w:sdtContent>
  </w:sdt>
  <w:p>
    <w:pPr>
      <w:pStyle w:val="Pieddepage"/>
    </w:pPr>
    <w:r>
      <w:rPr/>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sdtPr>
    <w:sdtContent>
      <w:p>
        <w:pPr>
          <w:pStyle w:val="Pieddepage"/>
          <w:jc w:val="right"/>
        </w:pPr>
        <w:r>
          <w:rPr/>
          <w:fldChar w:fldCharType="begin"/>
        </w:r>
        <w:r>
          <w:instrText> PAGE </w:instrText>
        </w:r>
        <w:r>
          <w:fldChar w:fldCharType="separate"/>
        </w:r>
        <w:r>
          <w:t>5</w:t>
        </w:r>
        <w:r>
          <w:fldChar w:fldCharType="end"/>
        </w:r>
        <w:r/>
      </w:p>
    </w:sdtContent>
  </w:sdt>
  <w:p>
    <w:pPr>
      <w:pStyle w:val="Pieddepage"/>
    </w:pPr>
    <w:r>
      <w:rPr/>
    </w: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edebasdepage"/>
      </w:pPr>
      <w:r>
        <w:rPr>
          <w:rStyle w:val="Footnotereference"/>
        </w:rPr>
        <w:footnoteRef/>
        <w:tab/>
      </w:r>
      <w:r>
        <w:rPr/>
        <w:t xml:space="preserve"> </w:t>
      </w:r>
      <w:r>
        <w:rPr/>
        <w:t>Date ajustable, cf. section 3</w:t>
      </w: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pPr>
    <w:r>
      <w:rPr/>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paragraph" w:styleId="Titre1">
    <w:name w:val="Titre 1"/>
    <w:basedOn w:val="Normal"/>
    <w:next w:val="Normal"/>
    <w:link w:val="Titre1Car"/>
    <w:uiPriority w:val="9"/>
    <w:qFormat/>
    <w:rsid w:val="00dc7302"/>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itre2">
    <w:name w:val="Titre 2"/>
    <w:basedOn w:val="Normal"/>
    <w:next w:val="Normal"/>
    <w:link w:val="Titre2Car"/>
    <w:uiPriority w:val="9"/>
    <w:unhideWhenUsed/>
    <w:qFormat/>
    <w:rsid w:val="00a8291b"/>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rsid w:val="00c0450c"/>
    <w:rPr/>
  </w:style>
  <w:style w:type="character" w:styleId="PieddepageCar" w:customStyle="1">
    <w:name w:val="Pied de page Car"/>
    <w:basedOn w:val="DefaultParagraphFont"/>
    <w:link w:val="Pieddepage"/>
    <w:uiPriority w:val="99"/>
    <w:rsid w:val="00c0450c"/>
    <w:rPr/>
  </w:style>
  <w:style w:type="character" w:styleId="TextedebullesCar" w:customStyle="1">
    <w:name w:val="Texte de bulles Car"/>
    <w:basedOn w:val="DefaultParagraphFont"/>
    <w:link w:val="Textedebulles"/>
    <w:uiPriority w:val="99"/>
    <w:semiHidden/>
    <w:rsid w:val="00c0450c"/>
    <w:rPr>
      <w:rFonts w:ascii="Tahoma" w:hAnsi="Tahoma" w:cs="Tahoma"/>
      <w:sz w:val="16"/>
      <w:szCs w:val="16"/>
    </w:rPr>
  </w:style>
  <w:style w:type="character" w:styleId="LienInternet">
    <w:name w:val="Lien Internet"/>
    <w:basedOn w:val="DefaultParagraphFont"/>
    <w:uiPriority w:val="99"/>
    <w:unhideWhenUsed/>
    <w:rsid w:val="00803152"/>
    <w:rPr>
      <w:color w:val="0000FF" w:themeColor="hyperlink"/>
      <w:u w:val="single"/>
      <w:lang w:val="zxx" w:eastAsia="zxx" w:bidi="zxx"/>
    </w:rPr>
  </w:style>
  <w:style w:type="character" w:styleId="Annotationreference">
    <w:name w:val="annotation reference"/>
    <w:basedOn w:val="DefaultParagraphFont"/>
    <w:uiPriority w:val="99"/>
    <w:semiHidden/>
    <w:unhideWhenUsed/>
    <w:rsid w:val="00e35dac"/>
    <w:rPr>
      <w:sz w:val="16"/>
      <w:szCs w:val="16"/>
    </w:rPr>
  </w:style>
  <w:style w:type="character" w:styleId="CommentaireCar" w:customStyle="1">
    <w:name w:val="Commentaire Car"/>
    <w:basedOn w:val="DefaultParagraphFont"/>
    <w:link w:val="Commentaire"/>
    <w:uiPriority w:val="99"/>
    <w:semiHidden/>
    <w:rsid w:val="00e35dac"/>
    <w:rPr>
      <w:sz w:val="20"/>
      <w:szCs w:val="20"/>
    </w:rPr>
  </w:style>
  <w:style w:type="character" w:styleId="ObjetducommentaireCar" w:customStyle="1">
    <w:name w:val="Objet du commentaire Car"/>
    <w:basedOn w:val="CommentaireCar"/>
    <w:link w:val="Objetducommentaire"/>
    <w:uiPriority w:val="99"/>
    <w:semiHidden/>
    <w:rsid w:val="00e35dac"/>
    <w:rPr>
      <w:b/>
      <w:bCs/>
      <w:sz w:val="20"/>
      <w:szCs w:val="20"/>
    </w:rPr>
  </w:style>
  <w:style w:type="character" w:styleId="Titre1Car" w:customStyle="1">
    <w:name w:val="Titre 1 Car"/>
    <w:basedOn w:val="DefaultParagraphFont"/>
    <w:link w:val="Titre1"/>
    <w:uiPriority w:val="9"/>
    <w:rsid w:val="00dc7302"/>
    <w:rPr>
      <w:rFonts w:ascii="Cambria" w:hAnsi="Cambria" w:eastAsia="" w:cs="" w:asciiTheme="majorHAnsi" w:cstheme="majorBidi" w:eastAsiaTheme="majorEastAsia" w:hAnsiTheme="majorHAnsi"/>
      <w:b/>
      <w:bCs/>
      <w:color w:val="365F91" w:themeColor="accent1" w:themeShade="bf"/>
      <w:sz w:val="28"/>
      <w:szCs w:val="28"/>
    </w:rPr>
  </w:style>
  <w:style w:type="character" w:styleId="Titre2Car" w:customStyle="1">
    <w:name w:val="Titre 2 Car"/>
    <w:basedOn w:val="DefaultParagraphFont"/>
    <w:link w:val="Titre2"/>
    <w:uiPriority w:val="9"/>
    <w:rsid w:val="00a8291b"/>
    <w:rPr>
      <w:rFonts w:ascii="Cambria" w:hAnsi="Cambria" w:eastAsia="" w:cs="" w:asciiTheme="majorHAnsi" w:cstheme="majorBidi" w:eastAsiaTheme="majorEastAsia" w:hAnsiTheme="majorHAnsi"/>
      <w:b/>
      <w:bCs/>
      <w:color w:val="4F81BD" w:themeColor="accent1"/>
      <w:sz w:val="26"/>
      <w:szCs w:val="26"/>
    </w:rPr>
  </w:style>
  <w:style w:type="character" w:styleId="NotedebasdepageCar" w:customStyle="1">
    <w:name w:val="Note de bas de page Car"/>
    <w:basedOn w:val="DefaultParagraphFont"/>
    <w:link w:val="Notedebasdepage"/>
    <w:uiPriority w:val="99"/>
    <w:semiHidden/>
    <w:rsid w:val="00a8291b"/>
    <w:rPr>
      <w:rFonts w:ascii="Calibri" w:hAnsi="Calibri" w:cs="Calibri"/>
      <w:sz w:val="20"/>
      <w:szCs w:val="20"/>
    </w:rPr>
  </w:style>
  <w:style w:type="character" w:styleId="Footnotereference">
    <w:name w:val="footnote reference"/>
    <w:basedOn w:val="DefaultParagraphFont"/>
    <w:uiPriority w:val="99"/>
    <w:semiHidden/>
    <w:unhideWhenUsed/>
    <w:rsid w:val="00a8291b"/>
    <w:rPr>
      <w:vertAlign w:val="superscript"/>
    </w:rPr>
  </w:style>
  <w:style w:type="character" w:styleId="FollowedHyperlink">
    <w:name w:val="FollowedHyperlink"/>
    <w:basedOn w:val="DefaultParagraphFont"/>
    <w:uiPriority w:val="99"/>
    <w:semiHidden/>
    <w:unhideWhenUsed/>
    <w:rsid w:val="00946e73"/>
    <w:rPr>
      <w:color w:val="800080" w:themeColor="followedHyperlink"/>
      <w:u w:val="single"/>
    </w:rPr>
  </w:style>
  <w:style w:type="character" w:styleId="NotedefinCar" w:customStyle="1">
    <w:name w:val="Note de fin Car"/>
    <w:basedOn w:val="DefaultParagraphFont"/>
    <w:link w:val="Notedefin"/>
    <w:uiPriority w:val="99"/>
    <w:semiHidden/>
    <w:rsid w:val="00c64a63"/>
    <w:rPr>
      <w:sz w:val="20"/>
      <w:szCs w:val="20"/>
    </w:rPr>
  </w:style>
  <w:style w:type="character" w:styleId="Endnotereference">
    <w:name w:val="endnote reference"/>
    <w:basedOn w:val="DefaultParagraphFont"/>
    <w:uiPriority w:val="99"/>
    <w:semiHidden/>
    <w:unhideWhenUsed/>
    <w:rsid w:val="00c64a63"/>
    <w:rPr>
      <w:vertAlign w:val="superscript"/>
    </w:rPr>
  </w:style>
  <w:style w:type="character" w:styleId="Strong">
    <w:name w:val="Strong"/>
    <w:basedOn w:val="DefaultParagraphFont"/>
    <w:uiPriority w:val="22"/>
    <w:qFormat/>
    <w:rsid w:val="00ef3783"/>
    <w:rPr>
      <w:b/>
      <w:bCs/>
    </w:rPr>
  </w:style>
  <w:style w:type="character" w:styleId="ListLabel1">
    <w:name w:val="ListLabel 1"/>
    <w:rPr>
      <w:rFonts w:cs="Courier New"/>
    </w:rPr>
  </w:style>
  <w:style w:type="character" w:styleId="ListLabel2">
    <w:name w:val="ListLabel 2"/>
    <w:rPr>
      <w:rFonts w:eastAsia="Calibri" w:cs="Calibri"/>
    </w:rPr>
  </w:style>
  <w:style w:type="character" w:styleId="Caractresdenotedebasdepage">
    <w:name w:val="Caractères de note de bas de page"/>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tte">
    <w:name w:val="En-tête"/>
    <w:basedOn w:val="Normal"/>
    <w:link w:val="En-tteCar"/>
    <w:uiPriority w:val="99"/>
    <w:unhideWhenUsed/>
    <w:rsid w:val="00c0450c"/>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unhideWhenUsed/>
    <w:rsid w:val="00c0450c"/>
    <w:pPr>
      <w:tabs>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rsid w:val="00c0450c"/>
    <w:pPr>
      <w:spacing w:lineRule="auto" w:line="240" w:before="0" w:after="0"/>
    </w:pPr>
    <w:rPr>
      <w:rFonts w:ascii="Tahoma" w:hAnsi="Tahoma" w:cs="Tahoma"/>
      <w:sz w:val="16"/>
      <w:szCs w:val="16"/>
    </w:rPr>
  </w:style>
  <w:style w:type="paragraph" w:styleId="Annotationtext">
    <w:name w:val="annotation text"/>
    <w:basedOn w:val="Normal"/>
    <w:link w:val="CommentaireCar"/>
    <w:uiPriority w:val="99"/>
    <w:semiHidden/>
    <w:unhideWhenUsed/>
    <w:rsid w:val="00e35dac"/>
    <w:pPr>
      <w:spacing w:lineRule="auto" w:line="240"/>
    </w:pPr>
    <w:rPr>
      <w:sz w:val="20"/>
      <w:szCs w:val="20"/>
    </w:rPr>
  </w:style>
  <w:style w:type="paragraph" w:styleId="Annotationsubject">
    <w:name w:val="annotation subject"/>
    <w:basedOn w:val="Annotationtext"/>
    <w:link w:val="ObjetducommentaireCar"/>
    <w:uiPriority w:val="99"/>
    <w:semiHidden/>
    <w:unhideWhenUsed/>
    <w:rsid w:val="00e35dac"/>
    <w:pPr/>
    <w:rPr>
      <w:b/>
      <w:bCs/>
    </w:rPr>
  </w:style>
  <w:style w:type="paragraph" w:styleId="ListParagraph">
    <w:name w:val="List Paragraph"/>
    <w:basedOn w:val="Normal"/>
    <w:uiPriority w:val="34"/>
    <w:qFormat/>
    <w:rsid w:val="0029389c"/>
    <w:pPr>
      <w:spacing w:before="0" w:after="200"/>
      <w:ind w:left="720" w:hanging="0"/>
      <w:contextualSpacing/>
    </w:pPr>
    <w:rPr/>
  </w:style>
  <w:style w:type="paragraph" w:styleId="Footnotetext">
    <w:name w:val="footnote text"/>
    <w:basedOn w:val="Normal"/>
    <w:link w:val="NotedebasdepageCar"/>
    <w:uiPriority w:val="99"/>
    <w:semiHidden/>
    <w:unhideWhenUsed/>
    <w:rsid w:val="00a8291b"/>
    <w:pPr>
      <w:spacing w:lineRule="auto" w:line="240" w:before="0" w:after="0"/>
    </w:pPr>
    <w:rPr>
      <w:rFonts w:ascii="Calibri" w:hAnsi="Calibri" w:cs="Calibri"/>
      <w:sz w:val="20"/>
      <w:szCs w:val="20"/>
    </w:rPr>
  </w:style>
  <w:style w:type="paragraph" w:styleId="Endnotetext">
    <w:name w:val="endnote text"/>
    <w:basedOn w:val="Normal"/>
    <w:link w:val="NotedefinCar"/>
    <w:uiPriority w:val="99"/>
    <w:semiHidden/>
    <w:unhideWhenUsed/>
    <w:rsid w:val="00c64a63"/>
    <w:pPr>
      <w:spacing w:lineRule="auto" w:line="240" w:before="0" w:after="0"/>
    </w:pPr>
    <w:rPr>
      <w:sz w:val="20"/>
      <w:szCs w:val="20"/>
    </w:rPr>
  </w:style>
  <w:style w:type="paragraph" w:styleId="Notedebasdepage">
    <w:name w:val="Note de bas de page"/>
    <w:basedOn w:val="Normal"/>
    <w:pP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ouvernement.fr/documents-dilcra" TargetMode="External"/><Relationship Id="rId4" Type="http://schemas.openxmlformats.org/officeDocument/2006/relationships/hyperlink" Target="http://www.dilcrah.fr/partenaires/"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0C9AF-C390-4021-8C76-8235286D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735689E0</Template>
  <TotalTime>7</TotalTime>
  <Application>LibreOffice/4.3.7.2.0$Windows_x86 LibreOffice_project/48a90ee55c9f053c937b3e8638cc753652d70536</Application>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2017-10-19T13:36:00Z</dcterms:created>
  <dc:creator>SPM</dc:creator>
  <dc:language>fr-FR</dc:language>
  <cp:lastModifiedBy>SPM</cp:lastModifiedBy>
  <dcterms:modified xsi:type="dcterms:W3CDTF">2018-09-11T10:25:00Z</dcterms:modified>
  <cp:revision>31</cp:revision>
</cp:coreProperties>
</file>